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0"/>
        <w:rPr>
          <w:rFonts w:hint="eastAsia" w:ascii="楷体_GB2312" w:hAnsi="宋体" w:eastAsia="楷体_GB2312" w:cs="宋体"/>
          <w:bCs/>
          <w:color w:val="000000"/>
          <w:kern w:val="0"/>
          <w:sz w:val="28"/>
          <w:szCs w:val="28"/>
        </w:rPr>
      </w:pPr>
      <w:bookmarkStart w:id="0" w:name="_GoBack"/>
      <w:bookmarkEnd w:id="0"/>
      <w:r>
        <w:rPr>
          <w:rFonts w:hint="eastAsia" w:ascii="楷体_GB2312" w:hAnsi="宋体" w:eastAsia="楷体_GB2312" w:cs="宋体"/>
          <w:bCs/>
          <w:color w:val="000000"/>
          <w:kern w:val="0"/>
          <w:sz w:val="28"/>
          <w:szCs w:val="28"/>
        </w:rPr>
        <w:t>附件:</w:t>
      </w:r>
    </w:p>
    <w:p>
      <w:pPr>
        <w:widowControl/>
        <w:shd w:val="clear" w:color="auto" w:fill="FFFFFF"/>
        <w:spacing w:line="360" w:lineRule="atLeast"/>
        <w:ind w:firstLine="480"/>
        <w:jc w:val="center"/>
        <w:rPr>
          <w:rFonts w:hint="eastAsia" w:ascii="楷体_GB2312" w:hAnsi="宋体" w:eastAsia="楷体_GB2312" w:cs="宋体"/>
          <w:bCs/>
          <w:color w:val="000000"/>
          <w:kern w:val="0"/>
          <w:sz w:val="28"/>
          <w:szCs w:val="28"/>
        </w:rPr>
      </w:pPr>
      <w:r>
        <w:rPr>
          <w:rFonts w:hint="eastAsia" w:ascii="方正小标宋简体" w:hAnsi="宋体" w:eastAsia="方正小标宋简体" w:cs="宋体"/>
          <w:bCs/>
          <w:color w:val="000000"/>
          <w:kern w:val="0"/>
          <w:sz w:val="44"/>
          <w:szCs w:val="44"/>
        </w:rPr>
        <w:t>社情民意信息案例</w:t>
      </w:r>
    </w:p>
    <w:p>
      <w:pPr>
        <w:widowControl/>
        <w:shd w:val="clear" w:color="auto" w:fill="FFFFFF"/>
        <w:spacing w:line="360" w:lineRule="atLeast"/>
        <w:ind w:firstLine="480"/>
        <w:jc w:val="left"/>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案例:1</w:t>
      </w:r>
    </w:p>
    <w:p>
      <w:pPr>
        <w:widowControl/>
        <w:shd w:val="clear" w:color="auto" w:fill="FFFFFF"/>
        <w:spacing w:line="360" w:lineRule="atLeast"/>
        <w:ind w:firstLine="480"/>
        <w:jc w:val="center"/>
        <w:rPr>
          <w:rFonts w:ascii="仿宋_GB2312" w:hAnsi="宋体" w:eastAsia="仿宋_GB2312" w:cs="宋体"/>
          <w:color w:val="000000"/>
          <w:kern w:val="0"/>
          <w:sz w:val="32"/>
          <w:szCs w:val="32"/>
        </w:rPr>
      </w:pPr>
      <w:r>
        <w:rPr>
          <w:rFonts w:hint="eastAsia" w:ascii="方正小标宋简体" w:hAnsi="宋体" w:eastAsia="方正小标宋简体" w:cs="宋体"/>
          <w:b/>
          <w:bCs/>
          <w:color w:val="000000"/>
          <w:kern w:val="0"/>
          <w:sz w:val="44"/>
          <w:szCs w:val="44"/>
        </w:rPr>
        <w:t>关于老旧小区改造后物业管理的建议</w:t>
      </w:r>
    </w:p>
    <w:p>
      <w:pPr>
        <w:widowControl/>
        <w:shd w:val="clear" w:color="auto" w:fill="FFFFFF"/>
        <w:spacing w:line="580" w:lineRule="atLeast"/>
        <w:ind w:firstLine="640"/>
        <w:jc w:val="left"/>
        <w:rPr>
          <w:rFonts w:ascii="黑体" w:hAnsi="黑体" w:eastAsia="黑体" w:cs="宋体"/>
          <w:color w:val="333333"/>
          <w:kern w:val="0"/>
          <w:sz w:val="32"/>
          <w:szCs w:val="32"/>
        </w:rPr>
      </w:pPr>
    </w:p>
    <w:p>
      <w:pPr>
        <w:widowControl/>
        <w:shd w:val="clear" w:color="auto" w:fill="FFFFFF"/>
        <w:spacing w:line="58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XX市政协反映，</w:t>
      </w:r>
      <w:r>
        <w:rPr>
          <w:rFonts w:hint="eastAsia" w:ascii="仿宋_GB2312" w:hAnsi="微软雅黑" w:eastAsia="仿宋_GB2312" w:cs="宋体"/>
          <w:color w:val="333333"/>
          <w:kern w:val="0"/>
          <w:sz w:val="32"/>
          <w:szCs w:val="32"/>
        </w:rPr>
        <w:t>老旧小区治理历来是城市治理中的一大难题。近年来，XX市政府投入资金，对大量老旧小区进行了改造，老旧小区面貌焕然一新。硬件设施完善后，需要物业管理服务支持，以维持改造成果。但因老旧小区基础设施差、物业费用收取困难等原因，引进现代正规的物业服务难度较大。因此，建议：</w:t>
      </w:r>
    </w:p>
    <w:p>
      <w:pPr>
        <w:widowControl/>
        <w:shd w:val="clear" w:color="auto" w:fill="FFFFFF"/>
        <w:spacing w:line="58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一、片区整体打包，增加物业公司管理面积。</w:t>
      </w:r>
      <w:r>
        <w:rPr>
          <w:rFonts w:hint="eastAsia" w:ascii="仿宋_GB2312" w:hAnsi="微软雅黑" w:eastAsia="仿宋_GB2312" w:cs="宋体"/>
          <w:color w:val="333333"/>
          <w:kern w:val="0"/>
          <w:sz w:val="32"/>
          <w:szCs w:val="32"/>
        </w:rPr>
        <w:t>物业公司的管理成本与管理面积是负相关的关系，管理面积越大，成本越低。为降低物业公司管理成本，提升其进驻意愿，建议以镇（街道）为最小单位，即只允许一家物业公司从事该片区的老旧小区的物业管理。也有利于降低政府的管理成本，在遇到重大紧急社会问题时，只需要与一家物业公司协调对接，即可对整个片区的老旧小区进行管理。</w:t>
      </w:r>
    </w:p>
    <w:p>
      <w:pPr>
        <w:widowControl/>
        <w:shd w:val="clear" w:color="auto" w:fill="FFFFFF"/>
        <w:spacing w:line="60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二、挖掘片区公共收益弥补管理费缺口。</w:t>
      </w:r>
      <w:r>
        <w:rPr>
          <w:rFonts w:hint="eastAsia" w:ascii="仿宋_GB2312" w:hAnsi="微软雅黑" w:eastAsia="仿宋_GB2312" w:cs="宋体"/>
          <w:color w:val="333333"/>
          <w:kern w:val="0"/>
          <w:sz w:val="32"/>
          <w:szCs w:val="32"/>
        </w:rPr>
        <w:t>实施老旧小区改造以后，新增社区公共用房、物业经营用房、养老服务设施、新增小区快递柜、公共停车位、小区楼道广告位等可出租经营的资源，由片区物业管理单位进驻经营。此外，镇（街道）可酌情考虑给与物业公司一定补贴，以弥补物业服务亏损不足。根据各小区实际情况，因地制宜加大老旧小区盈利空间挖掘力度，适当推出物业增值服务，以经济杠杆提高物业企业服务老旧小区的积极性。</w:t>
      </w:r>
    </w:p>
    <w:p>
      <w:pPr>
        <w:widowControl/>
        <w:shd w:val="clear" w:color="auto" w:fill="FFFFFF"/>
        <w:spacing w:line="60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三、加强片区化物业服务考核，以奖代补。</w:t>
      </w:r>
      <w:r>
        <w:rPr>
          <w:rFonts w:hint="eastAsia" w:ascii="仿宋_GB2312" w:hAnsi="微软雅黑" w:eastAsia="仿宋_GB2312" w:cs="宋体"/>
          <w:color w:val="333333"/>
          <w:kern w:val="0"/>
          <w:sz w:val="32"/>
          <w:szCs w:val="32"/>
        </w:rPr>
        <w:t>相关机构出台老旧小区的考核办法，创新物业管理考核机制，压实属地责任，对考核结果优秀、合格的镇（街道）和物业公司，给予奖励，相反对于考核不合格的镇（街道）和物业公司，要根据考核办法给予惩罚。</w:t>
      </w:r>
    </w:p>
    <w:p>
      <w:pPr>
        <w:widowControl/>
        <w:shd w:val="clear" w:color="auto" w:fill="FFFFFF"/>
        <w:spacing w:line="60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四、分级物业管理服务及收费标准。</w:t>
      </w:r>
      <w:r>
        <w:rPr>
          <w:rFonts w:hint="eastAsia" w:ascii="仿宋_GB2312" w:hAnsi="微软雅黑" w:eastAsia="仿宋_GB2312" w:cs="宋体"/>
          <w:color w:val="333333"/>
          <w:kern w:val="0"/>
          <w:sz w:val="32"/>
          <w:szCs w:val="32"/>
        </w:rPr>
        <w:t>可设置若干不同的服务标准，由小区内居民投票选择。建议最低服务标准等级的，物业公司不收取物业管理费，其它更高标准服务的，经市场调查和物价部门核准后，收取相应费用。</w:t>
      </w:r>
    </w:p>
    <w:p/>
    <w:p/>
    <w:p/>
    <w:p/>
    <w:p/>
    <w:p/>
    <w:p/>
    <w:p/>
    <w:p/>
    <w:p/>
    <w:p/>
    <w:p/>
    <w:p/>
    <w:p/>
    <w:p/>
    <w:p/>
    <w:p>
      <w:pPr>
        <w:widowControl/>
        <w:shd w:val="clear" w:color="auto" w:fill="FFFFFF"/>
        <w:spacing w:line="360" w:lineRule="atLeast"/>
        <w:jc w:val="left"/>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案例:2</w:t>
      </w:r>
    </w:p>
    <w:p>
      <w:pPr>
        <w:jc w:val="center"/>
        <w:rPr>
          <w:rFonts w:ascii="方正小标宋简体" w:eastAsia="方正小标宋简体"/>
          <w:b/>
          <w:bCs/>
          <w:color w:val="000000"/>
          <w:sz w:val="44"/>
          <w:szCs w:val="44"/>
          <w:shd w:val="clear" w:color="auto" w:fill="FFFFFF"/>
        </w:rPr>
      </w:pPr>
      <w:r>
        <w:rPr>
          <w:rFonts w:hint="eastAsia" w:ascii="方正小标宋简体" w:hAnsi="宋体" w:eastAsia="方正小标宋简体" w:cs="宋体"/>
          <w:b/>
          <w:bCs/>
          <w:color w:val="000000"/>
          <w:kern w:val="0"/>
          <w:sz w:val="44"/>
          <w:szCs w:val="44"/>
        </w:rPr>
        <w:t>关于</w:t>
      </w:r>
      <w:r>
        <w:rPr>
          <w:rFonts w:hint="eastAsia" w:ascii="方正小标宋简体" w:eastAsia="方正小标宋简体"/>
          <w:b/>
          <w:bCs/>
          <w:color w:val="000000"/>
          <w:sz w:val="44"/>
          <w:szCs w:val="44"/>
          <w:shd w:val="clear" w:color="auto" w:fill="FFFFFF"/>
        </w:rPr>
        <w:t>发展壮大村级集体经济的建议</w:t>
      </w:r>
    </w:p>
    <w:p>
      <w:pPr>
        <w:widowControl/>
        <w:shd w:val="clear" w:color="auto" w:fill="FFFFFF"/>
        <w:spacing w:line="580" w:lineRule="atLeast"/>
        <w:ind w:firstLine="640"/>
        <w:jc w:val="left"/>
        <w:rPr>
          <w:rFonts w:ascii="黑体" w:hAnsi="黑体" w:eastAsia="黑体" w:cs="宋体"/>
          <w:color w:val="333333"/>
          <w:kern w:val="0"/>
          <w:sz w:val="32"/>
          <w:szCs w:val="32"/>
        </w:rPr>
      </w:pPr>
    </w:p>
    <w:p>
      <w:pPr>
        <w:widowControl/>
        <w:shd w:val="clear" w:color="auto" w:fill="FFFFFF"/>
        <w:spacing w:line="58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XX市政协反映，</w:t>
      </w:r>
      <w:r>
        <w:rPr>
          <w:rFonts w:hint="eastAsia" w:ascii="仿宋_GB2312" w:hAnsi="微软雅黑" w:eastAsia="仿宋_GB2312" w:cs="宋体"/>
          <w:color w:val="333333"/>
          <w:kern w:val="0"/>
          <w:sz w:val="32"/>
          <w:szCs w:val="32"/>
        </w:rPr>
        <w:t>近年来，市委、市政府高度重视村级集体经济发展，坚持把发展壮大村级集体经济作为乡村振兴和农民增收致富的重点工作来抓，引导农民进行产业结构调整，不断拓宽农民收入渠道，全市各地农村经济发展水平得到了大幅提升。但是，目前我市村级集体经济发展仍然存在着发展不平衡、部分村集体经济总量小、产业单一、发展后劲不足等问题。</w:t>
      </w:r>
    </w:p>
    <w:p>
      <w:pPr>
        <w:widowControl/>
        <w:shd w:val="clear" w:color="auto" w:fill="FFFFFF"/>
        <w:spacing w:line="58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为此建议：</w:t>
      </w:r>
    </w:p>
    <w:p>
      <w:pPr>
        <w:widowControl/>
        <w:shd w:val="clear" w:color="auto" w:fill="FFFFFF"/>
        <w:spacing w:line="58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一是理清发展思路。</w:t>
      </w:r>
      <w:r>
        <w:rPr>
          <w:rFonts w:hint="eastAsia" w:ascii="仿宋_GB2312" w:hAnsi="微软雅黑" w:eastAsia="仿宋_GB2312" w:cs="宋体"/>
          <w:color w:val="333333"/>
          <w:kern w:val="0"/>
          <w:sz w:val="32"/>
          <w:szCs w:val="32"/>
        </w:rPr>
        <w:t>各地在发展村级集体经济时，要加大对自己的“家底”的盘点，遵循因地制宜的原则，通过产业规划的导入与引领，在摸清“家底”的基础上，工商农游并举，实现百花齐放、百花争春的局面。</w:t>
      </w:r>
    </w:p>
    <w:p>
      <w:pPr>
        <w:widowControl/>
        <w:shd w:val="clear" w:color="auto" w:fill="FFFFFF"/>
        <w:spacing w:line="60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二是增强发展能力。</w:t>
      </w:r>
      <w:r>
        <w:rPr>
          <w:rFonts w:hint="eastAsia" w:ascii="仿宋_GB2312" w:hAnsi="微软雅黑" w:eastAsia="仿宋_GB2312" w:cs="宋体"/>
          <w:color w:val="333333"/>
          <w:kern w:val="0"/>
          <w:sz w:val="32"/>
          <w:szCs w:val="32"/>
        </w:rPr>
        <w:t>结合当前全市上下开展村“两委”换届工作，选优配强村“两委”班子，尤其是村党组织书记，优先从致富带头人、科技致富能手、返乡创业人员、退伍军人、大学生村官等人群中，大胆选用思想解放、事业心强、思路清晰，懂经营、善管理的“能人”担任村党组织书记。同时，还要加大对村书记抓发展能力的培训，制订村干部培训中长期规划，通过与先进发达地区结对，采取外派挂职、考察交流、学习培训等形式，提升村干部尤其是村党组织书记抓村级集体经济发展的能力。</w:t>
      </w:r>
    </w:p>
    <w:p>
      <w:pPr>
        <w:widowControl/>
        <w:shd w:val="clear" w:color="auto" w:fill="FFFFFF"/>
        <w:spacing w:line="60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三是推进发展融合。</w:t>
      </w:r>
      <w:r>
        <w:rPr>
          <w:rFonts w:hint="eastAsia" w:ascii="仿宋_GB2312" w:hAnsi="微软雅黑" w:eastAsia="仿宋_GB2312" w:cs="宋体"/>
          <w:color w:val="333333"/>
          <w:kern w:val="0"/>
          <w:sz w:val="32"/>
          <w:szCs w:val="32"/>
        </w:rPr>
        <w:t>完善利益联结机制，积极探索发展农业产业化联合体、农民合作社、集体经济联合社、合资股份公司等组织形式，构建多种类型的融合模式，打造利益共同体和命运共同体。优先支持农业合作社等与农户具有密切联系的经营组织，构建“公司+合作社+农户”、“公司+基地+农户”等农企融合共赢模式。推动农村一二三产业融合发展，以“粮头食尾”、“农头工尾”为抓手发展现代农产品加工业，健全生产、加工、仓储保鲜、冷链物流等全产业链。大力发展乡村旅游、休闲康养、电子商务等适宜农村发展的现代服务业，丰富乡村经济业态，拓展农民增收空间，培育乡村发展新动能。</w:t>
      </w:r>
    </w:p>
    <w:p>
      <w:pPr>
        <w:widowControl/>
        <w:shd w:val="clear" w:color="auto" w:fill="FFFFFF"/>
        <w:spacing w:line="600" w:lineRule="atLeas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四是加大发展扶持。</w:t>
      </w:r>
      <w:r>
        <w:rPr>
          <w:rFonts w:hint="eastAsia" w:ascii="仿宋_GB2312" w:hAnsi="微软雅黑" w:eastAsia="仿宋_GB2312" w:cs="宋体"/>
          <w:color w:val="333333"/>
          <w:kern w:val="0"/>
          <w:sz w:val="32"/>
          <w:szCs w:val="32"/>
        </w:rPr>
        <w:t>深化农村集体土地制度改革，多渠道盘活农村存量土地资源。政府对发展计划可行、经营风险小、管理科学的村集体经营项目，采取贴息、奖励、补助等方式予以扶持。在不改变集体资金实际控股的前提下，鼓励民间资本、专业技术人才和社会能人进入村集体经济，形成完善的股份制运营政策体系。</w:t>
      </w:r>
    </w:p>
    <w:p/>
    <w:p/>
    <w:p/>
    <w:p/>
    <w:p/>
    <w:p/>
    <w:p>
      <w:pPr>
        <w:widowControl/>
        <w:shd w:val="clear" w:color="auto" w:fill="FFFFFF"/>
        <w:spacing w:line="360" w:lineRule="atLeast"/>
        <w:jc w:val="left"/>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案例:3</w:t>
      </w:r>
    </w:p>
    <w:p>
      <w:pPr>
        <w:widowControl/>
        <w:shd w:val="clear" w:color="auto" w:fill="FFFFFF"/>
        <w:spacing w:line="360" w:lineRule="atLeast"/>
        <w:rPr>
          <w:rFonts w:ascii="仿宋_GB2312" w:hAnsi="宋体" w:eastAsia="仿宋_GB2312" w:cs="宋体"/>
          <w:color w:val="000000"/>
          <w:kern w:val="0"/>
          <w:sz w:val="32"/>
          <w:szCs w:val="32"/>
        </w:rPr>
      </w:pPr>
      <w:r>
        <w:rPr>
          <w:rFonts w:hint="eastAsia" w:ascii="方正小标宋简体" w:hAnsi="宋体" w:eastAsia="方正小标宋简体" w:cs="宋体"/>
          <w:b/>
          <w:bCs/>
          <w:color w:val="000000"/>
          <w:kern w:val="0"/>
          <w:sz w:val="44"/>
          <w:szCs w:val="44"/>
        </w:rPr>
        <w:t>关于做好高强度疫苗接种保障工作的建议</w:t>
      </w:r>
    </w:p>
    <w:p>
      <w:pPr>
        <w:widowControl/>
        <w:shd w:val="clear" w:color="auto" w:fill="FFFFFF"/>
        <w:spacing w:line="360" w:lineRule="atLeast"/>
        <w:ind w:firstLine="640"/>
        <w:jc w:val="left"/>
        <w:rPr>
          <w:rFonts w:ascii="仿宋_GB2312" w:hAnsi="宋体" w:eastAsia="仿宋_GB2312" w:cs="宋体"/>
          <w:color w:val="000000"/>
          <w:kern w:val="0"/>
          <w:sz w:val="32"/>
          <w:szCs w:val="32"/>
        </w:rPr>
      </w:pP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r>
        <w:rPr>
          <w:rFonts w:hint="eastAsia" w:ascii="黑体" w:hAnsi="黑体" w:eastAsia="黑体" w:cs="宋体"/>
          <w:color w:val="333333"/>
          <w:kern w:val="0"/>
          <w:sz w:val="32"/>
          <w:szCs w:val="32"/>
        </w:rPr>
        <w:t>市政协委员XX反映，</w:t>
      </w:r>
      <w:r>
        <w:rPr>
          <w:rFonts w:hint="eastAsia" w:ascii="仿宋_GB2312" w:hAnsi="微软雅黑" w:eastAsia="仿宋_GB2312" w:cs="宋体"/>
          <w:color w:val="333333"/>
          <w:kern w:val="0"/>
          <w:sz w:val="32"/>
          <w:szCs w:val="32"/>
        </w:rPr>
        <w:t>近日，因合肥、六安出现了确诊病例，新冠疫苗接种从以前的“要我接种”转变成了现在的“我要接种”，各地接种点起早排队的现象已经是常态。</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高强度疫苗接种下应该注意以下情况，一是目前已经进入夏季，近期又是极端天气气候易发时期，人们在长时间排队下遇到高温闷热天气，或者是刮风大雨等极端气候，易发生安全事故；二是接种点现场人员集中，容易出现秩序混乱，同时如果常态化疫情防控措施落实不到位，也是疫情防控的风险隐患；三是由于任务重，接种经常需要加班，但部分接种点加班时间的医疗安全保障出现空档，这是接种工作的医疗风险隐患；四是要关注高强度疫苗接种下基层医务工作者过度疲劳可能引发技术操作差错的安全隐患；五是新冠疫苗接种和儿童计划免疫常规疫苗接种时间上的合理安排问题；六是马上出现的第一剂和第二剂疫苗叠加接种高峰的应对问题。</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为了在高强度疫苗接种状况下，保证疫苗接种工作安全有序进行，应做好高强度疫苗接种下保障工作，为此建议：</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是强化责任落实。各疫苗接种点的秩序维护，疫情防控指挥部门应当明确规定由乡镇（街道）或社区完成，同时做好候接种居民的各项后勤保障工作，公安部门应设立流动的警力协作，卫健部门应加强对接种点常态化疫情防控措施落实状况的监督巡查。</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是加强上下联动。由上级医疗机构派驻疫苗接种点从事医疗保障的医务人员，上班时间应当和接种点同步。同时规定，在没有医疗保障人员下，接种点不得进行接种，堵住部分接种点加班时间没有医疗保障人员的医疗安全漏洞。</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是集中工作力量。因为近期新冠疫苗接种任务重，时间紧。建议儿童计划免疫常规疫苗接种，每一周安排一天时间。为了避免儿童家长对减少接种次数的不理解，建议由疫情防控指挥部门通过社会管理网络通知到儿童家长，同时在接种点张贴疫情防控指挥部门的相关通知。这样既为新冠疫苗接种腾出了时间，又尽量减少了对儿童预防接种工作的影响。</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四是保障休息时间。合理安排接种点医务人员休息时间，控制加班时间，每天工作时间应控制在10小时以内，每一周要安排至少休息一天，不能打疲劳战。</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五是实施错峰接种。第一剂疫苗和第二剂疫苗要错时分开接种。</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p>
    <w:p>
      <w:pPr>
        <w:widowControl/>
        <w:shd w:val="clear" w:color="auto" w:fill="FFFFFF"/>
        <w:spacing w:line="360" w:lineRule="atLeast"/>
        <w:jc w:val="left"/>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案例:4</w:t>
      </w:r>
    </w:p>
    <w:p>
      <w:pPr>
        <w:widowControl/>
        <w:shd w:val="clear" w:color="auto" w:fill="FFFFFF"/>
        <w:spacing w:line="360" w:lineRule="atLeast"/>
        <w:ind w:firstLine="480"/>
        <w:jc w:val="center"/>
        <w:rPr>
          <w:rFonts w:ascii="仿宋_GB2312" w:hAnsi="宋体" w:eastAsia="仿宋_GB2312" w:cs="宋体"/>
          <w:color w:val="000000"/>
          <w:kern w:val="0"/>
          <w:sz w:val="32"/>
          <w:szCs w:val="32"/>
        </w:rPr>
      </w:pPr>
      <w:r>
        <w:rPr>
          <w:rFonts w:hint="eastAsia" w:ascii="方正小标宋简体" w:hAnsi="宋体" w:eastAsia="方正小标宋简体" w:cs="宋体"/>
          <w:b/>
          <w:bCs/>
          <w:color w:val="000000"/>
          <w:kern w:val="0"/>
          <w:sz w:val="44"/>
          <w:szCs w:val="44"/>
        </w:rPr>
        <w:t>关于推进我市招才引智工作的建议</w:t>
      </w:r>
      <w:r>
        <w:rPr>
          <w:rFonts w:hint="eastAsia" w:ascii="方正小标宋简体" w:hAnsi="宋体" w:eastAsia="方正小标宋简体" w:cs="宋体"/>
          <w:b/>
          <w:bCs/>
          <w:color w:val="000000"/>
          <w:kern w:val="0"/>
          <w:sz w:val="44"/>
          <w:szCs w:val="44"/>
        </w:rPr>
        <w:br w:type="textWrapping"/>
      </w:r>
    </w:p>
    <w:p>
      <w:pPr>
        <w:widowControl/>
        <w:shd w:val="clear" w:color="auto" w:fill="FFFFFF"/>
        <w:spacing w:line="540" w:lineRule="exact"/>
        <w:ind w:firstLine="641"/>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XX委员会反映，</w:t>
      </w:r>
      <w:r>
        <w:rPr>
          <w:rFonts w:hint="eastAsia" w:ascii="仿宋_GB2312" w:hAnsi="微软雅黑" w:eastAsia="仿宋_GB2312" w:cs="宋体"/>
          <w:color w:val="333333"/>
          <w:kern w:val="0"/>
          <w:sz w:val="32"/>
          <w:szCs w:val="32"/>
        </w:rPr>
        <w:t>习近平总书记在中央人才工作会议上指出，人才是衡量一个国家综合国力的重要指标，综合国力竞争说到底是人才竞争，国家发展靠人才，民族振兴靠人才。我市正处在经济转型发展的关键阶段，市委主要领导在全市高质量“双招双引”暨推进民营经济发展动员大会上要求，要把“双招双引”作为第一要事、第一抓手、一把手工程，全力做好招才引智工作。</w:t>
      </w:r>
    </w:p>
    <w:p>
      <w:pPr>
        <w:widowControl/>
        <w:shd w:val="clear" w:color="auto" w:fill="FFFFFF"/>
        <w:spacing w:line="540" w:lineRule="exact"/>
        <w:ind w:firstLine="641"/>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当前，我市总体上仍处于欠发达阶段、仍属于欠发达地区，与发达地区相比，经济发展“硬实力”先天不足，出台的系列人才优待政策“含金量”也难以与发达地区相比。</w:t>
      </w:r>
    </w:p>
    <w:p>
      <w:pPr>
        <w:widowControl/>
        <w:shd w:val="clear" w:color="auto" w:fill="FFFFFF"/>
        <w:spacing w:line="540" w:lineRule="exact"/>
        <w:ind w:firstLine="641"/>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因此，建议：</w:t>
      </w:r>
    </w:p>
    <w:p>
      <w:pPr>
        <w:widowControl/>
        <w:shd w:val="clear" w:color="auto" w:fill="FFFFFF"/>
        <w:spacing w:line="540" w:lineRule="exact"/>
        <w:ind w:firstLine="641"/>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一、建立人才联系制度。</w:t>
      </w:r>
      <w:r>
        <w:rPr>
          <w:rFonts w:hint="eastAsia" w:ascii="仿宋_GB2312" w:hAnsi="微软雅黑" w:eastAsia="仿宋_GB2312" w:cs="宋体"/>
          <w:color w:val="333333"/>
          <w:kern w:val="0"/>
          <w:sz w:val="32"/>
          <w:szCs w:val="32"/>
        </w:rPr>
        <w:t>研究出台领导干部“1＋1”服务高层次人才工作制度，即1名市领导干部与1位相关市直单位领导服务1名高端人才，提供个性化服务，实行“一人一事，一事一策”，用真心真情服务人才、留住人才。在全市着力营造尊重知识、尊重人才、尊重创造的良好氛围。</w:t>
      </w:r>
    </w:p>
    <w:p>
      <w:pPr>
        <w:widowControl/>
        <w:shd w:val="clear" w:color="auto" w:fill="FFFFFF"/>
        <w:spacing w:line="540" w:lineRule="exact"/>
        <w:ind w:firstLine="641"/>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二、开展人才状况普查。</w:t>
      </w:r>
      <w:r>
        <w:rPr>
          <w:rFonts w:hint="eastAsia" w:ascii="仿宋_GB2312" w:hAnsi="微软雅黑" w:eastAsia="仿宋_GB2312" w:cs="宋体"/>
          <w:color w:val="333333"/>
          <w:kern w:val="0"/>
          <w:sz w:val="32"/>
          <w:szCs w:val="32"/>
        </w:rPr>
        <w:t>对我市人才状况和需求情况开展一次大排查、大摸底，对全市人才情况做到心中有数，编制《XX市招才引智参考目录》并定期修订发布，以实际需求为依据，确定我市引进人才的重点领域、重点方向和重点承接平台，提高引才工作的精准度和科学化水平，为有意来XX发展的各类人才提供清晰的指向。</w:t>
      </w:r>
    </w:p>
    <w:p>
      <w:pPr>
        <w:widowControl/>
        <w:shd w:val="clear" w:color="auto" w:fill="FFFFFF"/>
        <w:spacing w:line="540" w:lineRule="exact"/>
        <w:ind w:firstLine="641"/>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三、建设线上服务平台。</w:t>
      </w:r>
      <w:r>
        <w:rPr>
          <w:rFonts w:hint="eastAsia" w:ascii="仿宋_GB2312" w:hAnsi="微软雅黑" w:eastAsia="仿宋_GB2312" w:cs="宋体"/>
          <w:b/>
          <w:bCs/>
          <w:color w:val="333333"/>
          <w:kern w:val="0"/>
          <w:sz w:val="32"/>
          <w:szCs w:val="32"/>
        </w:rPr>
        <w:t>一是</w:t>
      </w:r>
      <w:r>
        <w:rPr>
          <w:rFonts w:hint="eastAsia" w:ascii="仿宋_GB2312" w:hAnsi="微软雅黑" w:eastAsia="仿宋_GB2312" w:cs="宋体"/>
          <w:color w:val="333333"/>
          <w:kern w:val="0"/>
          <w:sz w:val="32"/>
          <w:szCs w:val="32"/>
        </w:rPr>
        <w:t>建立高层次人才服务网站，整合市直有关单位政策资源，汇聚项目对接信息、办事指南、优惠政策、申报计划等各种资讯，扩大我市招才引智政策的影响力。</w:t>
      </w:r>
      <w:r>
        <w:rPr>
          <w:rFonts w:hint="eastAsia" w:ascii="仿宋_GB2312" w:hAnsi="微软雅黑" w:eastAsia="仿宋_GB2312" w:cs="宋体"/>
          <w:b/>
          <w:bCs/>
          <w:color w:val="333333"/>
          <w:kern w:val="0"/>
          <w:sz w:val="32"/>
          <w:szCs w:val="32"/>
        </w:rPr>
        <w:t>二是</w:t>
      </w:r>
      <w:r>
        <w:rPr>
          <w:rFonts w:hint="eastAsia" w:ascii="仿宋_GB2312" w:hAnsi="微软雅黑" w:eastAsia="仿宋_GB2312" w:cs="宋体"/>
          <w:color w:val="333333"/>
          <w:kern w:val="0"/>
          <w:sz w:val="32"/>
          <w:szCs w:val="32"/>
        </w:rPr>
        <w:t>开发XX市招才引智微信小程序，内容涵括人才引进、户籍办理、子女入园入学、医疗保障、住房保障、社会保险、交通服务、旅游服务、优才卡办理和发放、进度查询等功能，为引进人才提供便捷的服务。</w:t>
      </w:r>
    </w:p>
    <w:p>
      <w:pPr>
        <w:widowControl/>
        <w:shd w:val="clear" w:color="auto" w:fill="FFFFFF"/>
        <w:spacing w:line="540" w:lineRule="exact"/>
        <w:ind w:firstLine="641"/>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四、提升服务能力水平。</w:t>
      </w:r>
      <w:r>
        <w:rPr>
          <w:rFonts w:hint="eastAsia" w:ascii="仿宋_GB2312" w:hAnsi="微软雅黑" w:eastAsia="仿宋_GB2312" w:cs="宋体"/>
          <w:color w:val="333333"/>
          <w:kern w:val="0"/>
          <w:sz w:val="32"/>
          <w:szCs w:val="32"/>
        </w:rPr>
        <w:t>建立我市招才引智服务标准化工作流程，健全全程式、一站式、保姆式的服务机制，通过“一窗受理、专员服务、部门联办、限时办结”的服务方式，确保引进人才涉及的编制和社保等基本要件在最短时间内办结，各项人才激励政策在最短的时间内兑现，为高层次人才提供高效、便捷服务。</w:t>
      </w:r>
    </w:p>
    <w:p>
      <w:pPr>
        <w:widowControl/>
        <w:shd w:val="clear" w:color="auto" w:fill="FFFFFF"/>
        <w:spacing w:line="540" w:lineRule="exact"/>
        <w:ind w:firstLine="641"/>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五、加强人才集聚平台建设。</w:t>
      </w:r>
      <w:r>
        <w:rPr>
          <w:rFonts w:hint="eastAsia" w:ascii="仿宋_GB2312" w:hAnsi="微软雅黑" w:eastAsia="仿宋_GB2312" w:cs="宋体"/>
          <w:color w:val="333333"/>
          <w:kern w:val="0"/>
          <w:sz w:val="32"/>
          <w:szCs w:val="32"/>
        </w:rPr>
        <w:t>招才引智重在打造发展平台，要给人才提供合适的岗位、发展的机会、逐梦的平台，实现个人理想与XX发展高度统一。</w:t>
      </w:r>
      <w:r>
        <w:rPr>
          <w:rFonts w:hint="eastAsia" w:ascii="仿宋_GB2312" w:hAnsi="微软雅黑" w:eastAsia="仿宋_GB2312" w:cs="宋体"/>
          <w:b/>
          <w:bCs/>
          <w:color w:val="333333"/>
          <w:kern w:val="0"/>
          <w:sz w:val="32"/>
          <w:szCs w:val="32"/>
        </w:rPr>
        <w:t>一要</w:t>
      </w:r>
      <w:r>
        <w:rPr>
          <w:rFonts w:hint="eastAsia" w:ascii="仿宋_GB2312" w:hAnsi="微软雅黑" w:eastAsia="仿宋_GB2312" w:cs="宋体"/>
          <w:color w:val="333333"/>
          <w:kern w:val="0"/>
          <w:sz w:val="32"/>
          <w:szCs w:val="32"/>
        </w:rPr>
        <w:t>引进高端人才聚集平台，结合XX实际策划重大项目，推动“大院大所”到XX设立分支机构。</w:t>
      </w:r>
      <w:r>
        <w:rPr>
          <w:rFonts w:hint="eastAsia" w:ascii="仿宋_GB2312" w:hAnsi="微软雅黑" w:eastAsia="仿宋_GB2312" w:cs="宋体"/>
          <w:b/>
          <w:bCs/>
          <w:color w:val="333333"/>
          <w:kern w:val="0"/>
          <w:sz w:val="32"/>
          <w:szCs w:val="32"/>
        </w:rPr>
        <w:t>二要</w:t>
      </w:r>
      <w:r>
        <w:rPr>
          <w:rFonts w:hint="eastAsia" w:ascii="仿宋_GB2312" w:hAnsi="微软雅黑" w:eastAsia="仿宋_GB2312" w:cs="宋体"/>
          <w:color w:val="333333"/>
          <w:kern w:val="0"/>
          <w:sz w:val="32"/>
          <w:szCs w:val="32"/>
        </w:rPr>
        <w:t>做强市内人才发展平台，提高高等院校、科研院所和院士专家工作站等人才平台的数量和质量，改善科研和办公条件。</w:t>
      </w:r>
    </w:p>
    <w:p>
      <w:pPr>
        <w:widowControl/>
        <w:shd w:val="clear" w:color="auto" w:fill="FFFFFF"/>
        <w:spacing w:line="360" w:lineRule="atLeast"/>
        <w:ind w:firstLine="640"/>
        <w:jc w:val="left"/>
        <w:rPr>
          <w:rFonts w:ascii="仿宋_GB2312" w:hAnsi="微软雅黑" w:eastAsia="仿宋_GB2312" w:cs="宋体"/>
          <w:color w:val="333333"/>
          <w:kern w:val="0"/>
          <w:sz w:val="32"/>
          <w:szCs w:val="32"/>
        </w:rPr>
      </w:pPr>
    </w:p>
    <w:p>
      <w:pPr>
        <w:rPr>
          <w:rFonts w:ascii="仿宋_GB2312" w:hAnsi="微软雅黑" w:eastAsia="仿宋_GB2312" w:cs="宋体"/>
          <w:color w:val="333333"/>
          <w:kern w:val="0"/>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2218"/>
    <w:rsid w:val="00141C60"/>
    <w:rsid w:val="001633C9"/>
    <w:rsid w:val="001976C0"/>
    <w:rsid w:val="001E290A"/>
    <w:rsid w:val="001F7AE7"/>
    <w:rsid w:val="002110DA"/>
    <w:rsid w:val="002306F2"/>
    <w:rsid w:val="00277429"/>
    <w:rsid w:val="002A4416"/>
    <w:rsid w:val="002D0098"/>
    <w:rsid w:val="003B4D1C"/>
    <w:rsid w:val="003B772B"/>
    <w:rsid w:val="003C5AEC"/>
    <w:rsid w:val="003D1CFA"/>
    <w:rsid w:val="003D4625"/>
    <w:rsid w:val="003F6092"/>
    <w:rsid w:val="004420C6"/>
    <w:rsid w:val="0046416E"/>
    <w:rsid w:val="004B47F9"/>
    <w:rsid w:val="005021C4"/>
    <w:rsid w:val="005A56BB"/>
    <w:rsid w:val="005D13BB"/>
    <w:rsid w:val="0063615E"/>
    <w:rsid w:val="00637C8D"/>
    <w:rsid w:val="00804B8D"/>
    <w:rsid w:val="00822501"/>
    <w:rsid w:val="00853B40"/>
    <w:rsid w:val="0085708C"/>
    <w:rsid w:val="008777FB"/>
    <w:rsid w:val="00892B62"/>
    <w:rsid w:val="008A1513"/>
    <w:rsid w:val="0093140B"/>
    <w:rsid w:val="00975F69"/>
    <w:rsid w:val="00993491"/>
    <w:rsid w:val="00A020B9"/>
    <w:rsid w:val="00A156D2"/>
    <w:rsid w:val="00A23953"/>
    <w:rsid w:val="00A45E16"/>
    <w:rsid w:val="00A5360E"/>
    <w:rsid w:val="00A76891"/>
    <w:rsid w:val="00A91DE3"/>
    <w:rsid w:val="00AB2694"/>
    <w:rsid w:val="00C000BB"/>
    <w:rsid w:val="00C6760B"/>
    <w:rsid w:val="00E12218"/>
    <w:rsid w:val="00E14ED0"/>
    <w:rsid w:val="00E21B57"/>
    <w:rsid w:val="00E652FC"/>
    <w:rsid w:val="00E75F94"/>
    <w:rsid w:val="00EE5945"/>
    <w:rsid w:val="00EF4C06"/>
    <w:rsid w:val="00FC5D8A"/>
    <w:rsid w:val="00FD5326"/>
    <w:rsid w:val="12127592"/>
    <w:rsid w:val="5CD0375A"/>
    <w:rsid w:val="7C525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D6B14-E6E9-4F03-A312-64062143AEF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736</Words>
  <Characters>4200</Characters>
  <Lines>35</Lines>
  <Paragraphs>9</Paragraphs>
  <TotalTime>2</TotalTime>
  <ScaleCrop>false</ScaleCrop>
  <LinksUpToDate>false</LinksUpToDate>
  <CharactersWithSpaces>4927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2022-01-30T02:59:00Z</dcterms:created>
  <dc:creator>gyb1</dc:creator>
  <cp:lastModifiedBy>刚刚好</cp:lastModifiedBy>
  <dcterms:modified xsi:type="dcterms:W3CDTF">2022-02-23T01:17:57Z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FC3EC985EA1849079CE55474B42B4174</vt:lpwstr>
  </property>
</Properties>
</file>